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08FF680D" w:rsidR="00FB2639" w:rsidRDefault="0003508E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#260 Corrugated Wall Tie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4899132C" w14:textId="3D051A47" w:rsidR="00EA303D" w:rsidRDefault="00EA303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625F12">
        <w:rPr>
          <w:rFonts w:ascii="Arial" w:hAnsi="Arial" w:cs="Arial"/>
          <w:color w:val="000000"/>
        </w:rPr>
        <w:t>23 Masonry Accessories</w:t>
      </w:r>
      <w:bookmarkStart w:id="0" w:name="_GoBack"/>
      <w:bookmarkEnd w:id="0"/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15A26DEA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35F701B" w14:textId="068EE5D2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33136382" w14:textId="09DD513D" w:rsidR="00673F68" w:rsidRDefault="00673F68" w:rsidP="003305F0">
      <w:pPr>
        <w:rPr>
          <w:rFonts w:ascii="Arial" w:hAnsi="Arial" w:cs="Arial"/>
          <w:szCs w:val="24"/>
        </w:rPr>
      </w:pPr>
    </w:p>
    <w:p w14:paraId="0A8250ED" w14:textId="0E565971" w:rsidR="00673F68" w:rsidRPr="00EA05C2" w:rsidRDefault="00673F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eastAsiaTheme="minorHAnsi" w:hAnsi="Arial" w:cs="Arial"/>
          <w:szCs w:val="24"/>
        </w:rPr>
        <w:t>C. ASTM A1008/A1008M Sheet Metal Anchors and Ties (Plain Steel)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A974911" w14:textId="446EBC56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02891B16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673F68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28CE40C2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673F68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39B677" w14:textId="3C420E03" w:rsidR="003305F0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</w:p>
    <w:p w14:paraId="3219BE16" w14:textId="77777777" w:rsidR="004174D2" w:rsidRDefault="004174D2" w:rsidP="003305F0">
      <w:pPr>
        <w:rPr>
          <w:rFonts w:ascii="Arial" w:hAnsi="Arial" w:cs="Arial"/>
          <w:szCs w:val="24"/>
        </w:rPr>
      </w:pPr>
    </w:p>
    <w:p w14:paraId="209E1714" w14:textId="6C1BD1AD" w:rsidR="004174D2" w:rsidRDefault="004174D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73F68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 xml:space="preserve">. Zinc Alloy 710 for use as a firewall anchor.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530DCDEC" w:rsidR="00027F90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</w:r>
      <w:r w:rsidR="0003508E">
        <w:rPr>
          <w:rFonts w:ascii="Arial" w:hAnsi="Arial" w:cs="Arial"/>
          <w:b/>
          <w:bCs/>
          <w:szCs w:val="24"/>
        </w:rPr>
        <w:t>No. 260 CORRUGATED WALL TIE</w:t>
      </w:r>
    </w:p>
    <w:p w14:paraId="53A1B166" w14:textId="5DA81104" w:rsidR="0003508E" w:rsidRPr="0003508E" w:rsidRDefault="0003508E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[gage (minimum 22 gage)] x [length] x [width]</w:t>
      </w:r>
    </w:p>
    <w:p w14:paraId="2993B887" w14:textId="1C19D28D" w:rsidR="008B486A" w:rsidRDefault="008B486A" w:rsidP="008B486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Materials: [</w:t>
      </w:r>
      <w:proofErr w:type="spellStart"/>
      <w:r>
        <w:rPr>
          <w:rFonts w:ascii="Arial" w:hAnsi="Arial" w:cs="Arial"/>
          <w:szCs w:val="24"/>
        </w:rPr>
        <w:t>Hotdip</w:t>
      </w:r>
      <w:proofErr w:type="spellEnd"/>
      <w:r>
        <w:rPr>
          <w:rFonts w:ascii="Arial" w:hAnsi="Arial" w:cs="Arial"/>
          <w:szCs w:val="24"/>
        </w:rPr>
        <w:t xml:space="preserve"> Galvanized After Fabrication] [Stainless Steel] [Zinc Alloy 710 Firewall] 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3508E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25F12"/>
    <w:rsid w:val="00673F68"/>
    <w:rsid w:val="0076672C"/>
    <w:rsid w:val="008B486A"/>
    <w:rsid w:val="00A6198B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2019-09-19T16:37:00Z</dcterms:created>
  <dcterms:modified xsi:type="dcterms:W3CDTF">2019-09-30T20:41:00Z</dcterms:modified>
</cp:coreProperties>
</file>